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2023年</w:t>
      </w:r>
      <w:r>
        <w:rPr>
          <w:rFonts w:hint="eastAsia" w:ascii="方正小标宋简体" w:hAnsi="方正小标宋简体" w:eastAsia="方正小标宋简体" w:cs="方正小标宋简体"/>
          <w:sz w:val="36"/>
          <w:szCs w:val="36"/>
          <w:lang w:eastAsia="zh-CN"/>
        </w:rPr>
        <w:t>海口市旅游和文化广电体育局</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重要时间节点</w:t>
      </w:r>
      <w:r>
        <w:rPr>
          <w:rFonts w:hint="eastAsia" w:ascii="方正小标宋简体" w:hAnsi="方正小标宋简体" w:eastAsia="方正小标宋简体" w:cs="方正小标宋简体"/>
          <w:sz w:val="36"/>
          <w:szCs w:val="36"/>
          <w:lang w:eastAsia="zh-CN"/>
        </w:rPr>
        <w:t>普法宣传计划表</w:t>
      </w:r>
    </w:p>
    <w:tbl>
      <w:tblPr>
        <w:tblStyle w:val="5"/>
        <w:tblpPr w:leftFromText="180" w:rightFromText="180" w:vertAnchor="text" w:horzAnchor="page" w:tblpX="982" w:tblpY="472"/>
        <w:tblOverlap w:val="never"/>
        <w:tblW w:w="1015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540"/>
        <w:gridCol w:w="1005"/>
        <w:gridCol w:w="1905"/>
        <w:gridCol w:w="2775"/>
        <w:gridCol w:w="3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90" w:hRule="atLeast"/>
        </w:trPr>
        <w:tc>
          <w:tcPr>
            <w:tcW w:w="54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30"/>
                <w:szCs w:val="30"/>
              </w:rPr>
            </w:pPr>
            <w:r>
              <w:rPr>
                <w:rStyle w:val="7"/>
                <w:rFonts w:hint="eastAsia" w:ascii="仿宋_GB2312" w:hAnsi="仿宋_GB2312" w:eastAsia="仿宋_GB2312" w:cs="仿宋_GB2312"/>
                <w:i w:val="0"/>
                <w:caps w:val="0"/>
                <w:color w:val="000000"/>
                <w:spacing w:val="23"/>
                <w:sz w:val="30"/>
                <w:szCs w:val="30"/>
              </w:rPr>
              <w:t>月份</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30"/>
                <w:szCs w:val="30"/>
              </w:rPr>
            </w:pPr>
            <w:r>
              <w:rPr>
                <w:rStyle w:val="7"/>
                <w:rFonts w:hint="eastAsia" w:ascii="仿宋_GB2312" w:hAnsi="仿宋_GB2312" w:eastAsia="仿宋_GB2312" w:cs="仿宋_GB2312"/>
                <w:i w:val="0"/>
                <w:caps w:val="0"/>
                <w:color w:val="000000"/>
                <w:spacing w:val="23"/>
                <w:sz w:val="30"/>
                <w:szCs w:val="30"/>
              </w:rPr>
              <w:t>日期</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30"/>
                <w:szCs w:val="30"/>
              </w:rPr>
            </w:pPr>
            <w:r>
              <w:rPr>
                <w:rStyle w:val="7"/>
                <w:rFonts w:hint="eastAsia" w:ascii="仿宋_GB2312" w:hAnsi="仿宋_GB2312" w:eastAsia="仿宋_GB2312" w:cs="仿宋_GB2312"/>
                <w:i w:val="0"/>
                <w:caps w:val="0"/>
                <w:color w:val="000000"/>
                <w:spacing w:val="23"/>
                <w:sz w:val="30"/>
                <w:szCs w:val="30"/>
              </w:rPr>
              <w:t>节日名称</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30"/>
                <w:szCs w:val="30"/>
              </w:rPr>
            </w:pPr>
            <w:r>
              <w:rPr>
                <w:rStyle w:val="7"/>
                <w:rFonts w:hint="eastAsia" w:ascii="仿宋_GB2312" w:hAnsi="仿宋_GB2312" w:eastAsia="仿宋_GB2312" w:cs="仿宋_GB2312"/>
                <w:i w:val="0"/>
                <w:caps w:val="0"/>
                <w:color w:val="000000"/>
                <w:spacing w:val="23"/>
                <w:sz w:val="30"/>
                <w:szCs w:val="30"/>
              </w:rPr>
              <w:t>宣传主题</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30"/>
                <w:szCs w:val="30"/>
                <w:lang w:eastAsia="zh-CN"/>
              </w:rPr>
            </w:pPr>
            <w:r>
              <w:rPr>
                <w:rStyle w:val="7"/>
                <w:rFonts w:hint="eastAsia" w:ascii="仿宋_GB2312" w:hAnsi="仿宋_GB2312" w:eastAsia="仿宋_GB2312" w:cs="仿宋_GB2312"/>
                <w:i w:val="0"/>
                <w:caps w:val="0"/>
                <w:color w:val="000000"/>
                <w:spacing w:val="23"/>
                <w:sz w:val="30"/>
                <w:szCs w:val="30"/>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00" w:hRule="atLeast"/>
        </w:trPr>
        <w:tc>
          <w:tcPr>
            <w:tcW w:w="54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p>
        </w:tc>
        <w:tc>
          <w:tcPr>
            <w:tcW w:w="1905" w:type="dxa"/>
            <w:tcBorders>
              <w:tl2br w:val="nil"/>
              <w:tr2bl w:val="nil"/>
            </w:tcBorders>
            <w:shd w:val="clear" w:color="auto" w:fill="FFFFFF"/>
            <w:noWrap w:val="0"/>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Fonts w:hint="eastAsia" w:ascii="仿宋_GB2312" w:hAnsi="仿宋_GB2312" w:eastAsia="仿宋_GB2312" w:cs="仿宋_GB2312"/>
                <w:sz w:val="24"/>
                <w:szCs w:val="24"/>
              </w:rPr>
            </w:pP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党的二十大关于法治建设的重要论述和战略部署</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机关党委办组织一期党的二十大关于法治建设重要论述和战略部署培训班，机关党委办将其列入党组中心组理论学习内容，鉴于</w:t>
            </w:r>
            <w:r>
              <w:rPr>
                <w:rFonts w:hint="eastAsia" w:ascii="仿宋_GB2312" w:hAnsi="仿宋_GB2312" w:eastAsia="仿宋_GB2312" w:cs="仿宋_GB2312"/>
                <w:sz w:val="24"/>
                <w:szCs w:val="24"/>
                <w:lang w:val="en-US" w:eastAsia="zh-CN"/>
              </w:rPr>
              <w:t>1月总结考核较多，可以视情延迟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95" w:hRule="atLeast"/>
        </w:trPr>
        <w:tc>
          <w:tcPr>
            <w:tcW w:w="540" w:type="dxa"/>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lang w:val="en-US" w:eastAsia="zh-CN"/>
              </w:rPr>
            </w:pPr>
            <w:r>
              <w:rPr>
                <w:rFonts w:hint="eastAsia" w:ascii="仿宋_GB2312" w:hAnsi="仿宋_GB2312" w:eastAsia="仿宋_GB2312" w:cs="仿宋_GB2312"/>
                <w:i w:val="0"/>
                <w:caps w:val="0"/>
                <w:color w:val="3E3E3E"/>
                <w:spacing w:val="23"/>
                <w:sz w:val="24"/>
                <w:szCs w:val="24"/>
                <w:lang w:val="en-US" w:eastAsia="zh-CN"/>
              </w:rPr>
              <w:t>2月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习近平法治思想</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政策法规科组织习近平</w:t>
            </w:r>
            <w:bookmarkStart w:id="0" w:name="_GoBack"/>
            <w:bookmarkEnd w:id="0"/>
            <w:r>
              <w:rPr>
                <w:rFonts w:hint="eastAsia" w:ascii="仿宋_GB2312" w:hAnsi="仿宋_GB2312" w:eastAsia="仿宋_GB2312" w:cs="仿宋_GB2312"/>
                <w:sz w:val="24"/>
                <w:szCs w:val="24"/>
                <w:lang w:eastAsia="zh-CN"/>
              </w:rPr>
              <w:t>法治思想专题培训，机关党委办将其列入党组中心组理论学习内容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540" w:type="dxa"/>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lang w:val="en-US" w:eastAsia="zh-CN"/>
              </w:rPr>
            </w:pPr>
            <w:r>
              <w:rPr>
                <w:rFonts w:hint="eastAsia" w:ascii="仿宋_GB2312" w:hAnsi="仿宋_GB2312" w:eastAsia="仿宋_GB2312" w:cs="仿宋_GB2312"/>
                <w:i w:val="0"/>
                <w:caps w:val="0"/>
                <w:color w:val="3E3E3E"/>
                <w:spacing w:val="23"/>
                <w:sz w:val="24"/>
                <w:szCs w:val="24"/>
                <w:lang w:val="en-US" w:eastAsia="zh-CN"/>
              </w:rPr>
              <w:t>3月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both"/>
              <w:textAlignment w:val="center"/>
              <w:rPr>
                <w:rFonts w:hint="eastAsia" w:ascii="仿宋_GB2312" w:hAnsi="仿宋_GB2312" w:eastAsia="仿宋_GB2312" w:cs="仿宋_GB2312"/>
                <w:i w:val="0"/>
                <w:caps w:val="0"/>
                <w:color w:val="000000"/>
                <w:spacing w:val="23"/>
                <w:sz w:val="24"/>
                <w:szCs w:val="24"/>
                <w:lang w:val="en-US" w:eastAsia="zh-CN"/>
              </w:rPr>
            </w:pP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val="en-US" w:eastAsia="zh-CN"/>
              </w:rPr>
            </w:pP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i w:val="0"/>
                <w:caps w:val="0"/>
                <w:color w:val="000000"/>
                <w:spacing w:val="23"/>
                <w:sz w:val="24"/>
                <w:szCs w:val="24"/>
                <w:lang w:eastAsia="zh-CN"/>
              </w:rPr>
              <w:t>民法典</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政策法规科组织参与“美好生活·民法典相伴”主题系列活动，组织开展民法典进机关、进单位、进学校、进乡村、进社区、进企业、进公共场所活动等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540" w:type="dxa"/>
            <w:vMerge w:val="restart"/>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lang w:val="en-US" w:eastAsia="zh-CN"/>
              </w:rPr>
            </w:pPr>
            <w:r>
              <w:rPr>
                <w:rFonts w:hint="eastAsia" w:ascii="仿宋_GB2312" w:hAnsi="仿宋_GB2312" w:eastAsia="仿宋_GB2312" w:cs="仿宋_GB2312"/>
                <w:i w:val="0"/>
                <w:caps w:val="0"/>
                <w:color w:val="3E3E3E"/>
                <w:spacing w:val="23"/>
                <w:sz w:val="24"/>
                <w:szCs w:val="24"/>
                <w:lang w:val="en-US" w:eastAsia="zh-CN"/>
              </w:rPr>
              <w:t>4月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4月15日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国家安全日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国家安全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法律法规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60"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r>
              <w:rPr>
                <w:rFonts w:hint="eastAsia" w:ascii="仿宋_GB2312" w:hAnsi="仿宋_GB2312" w:eastAsia="仿宋_GB2312" w:cs="仿宋_GB2312"/>
                <w:i w:val="0"/>
                <w:caps w:val="0"/>
                <w:color w:val="000000"/>
                <w:spacing w:val="23"/>
                <w:sz w:val="24"/>
                <w:szCs w:val="24"/>
              </w:rPr>
              <w:t>4月22日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世界法律日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法律法规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15" w:hRule="atLeast"/>
        </w:trPr>
        <w:tc>
          <w:tcPr>
            <w:tcW w:w="540" w:type="dxa"/>
            <w:vMerge w:val="restart"/>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5月</w:t>
            </w:r>
          </w:p>
        </w:tc>
        <w:tc>
          <w:tcPr>
            <w:tcW w:w="1005" w:type="dxa"/>
            <w:vMerge w:val="restart"/>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5月1日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国际劳动节</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劳动法律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法规宣传</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540" w:type="dxa"/>
            <w:vMerge w:val="continue"/>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p>
        </w:tc>
        <w:tc>
          <w:tcPr>
            <w:tcW w:w="1005" w:type="dxa"/>
            <w:vMerge w:val="continue"/>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i w:val="0"/>
                <w:caps w:val="0"/>
                <w:color w:val="000000"/>
                <w:spacing w:val="23"/>
                <w:sz w:val="24"/>
                <w:szCs w:val="24"/>
                <w:lang w:eastAsia="zh-CN"/>
              </w:rPr>
              <w:t>《反有组织犯罪法》宣传日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lang w:eastAsia="zh-CN"/>
              </w:rPr>
              <w:t>反有组织犯罪</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1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5月18日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国际博物馆日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文物保护法、博物馆条例等法律法规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市文物局组织一期文物保护专题知识讲座，各单位利用户外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5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5月19日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中国旅游日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rPr>
              <w:t>旅游法律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rPr>
              <w:t>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政策法规科邀请专家组织一期旅游法专题讲座，各单位利用户外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5月31日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世界无烟日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禁烟法律法规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1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center"/>
              <w:rPr>
                <w:rFonts w:hint="eastAsia" w:ascii="仿宋_GB2312" w:hAnsi="仿宋_GB2312" w:eastAsia="仿宋_GB2312" w:cs="仿宋_GB2312"/>
                <w:i w:val="0"/>
                <w:caps w:val="0"/>
                <w:color w:val="3E3E3E"/>
                <w:spacing w:val="23"/>
                <w:sz w:val="24"/>
                <w:szCs w:val="24"/>
                <w:lang w:val="en-US" w:eastAsia="zh-CN"/>
              </w:rPr>
            </w:pPr>
            <w:r>
              <w:rPr>
                <w:rFonts w:hint="eastAsia" w:ascii="仿宋_GB2312" w:hAnsi="仿宋_GB2312" w:eastAsia="仿宋_GB2312" w:cs="仿宋_GB2312"/>
                <w:i w:val="0"/>
                <w:caps w:val="0"/>
                <w:color w:val="3E3E3E"/>
                <w:spacing w:val="23"/>
                <w:sz w:val="24"/>
                <w:szCs w:val="24"/>
                <w:lang w:val="en-US" w:eastAsia="zh-CN"/>
              </w:rPr>
              <w:t>5月</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防范和处置非法集资宣传月</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按指定主题</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540" w:type="dxa"/>
            <w:vMerge w:val="restart"/>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6月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6月1日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国际儿童节</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rPr>
              <w:t>未成年人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保护法</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1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6月5日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世界环境日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环境保护法</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1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6月的第二个星期六</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文化和自然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遗产日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非物质文化遗产法</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文化艺术科组织引导法治文艺团体和工作者深入挖掘海口地方民俗文化中的法治元素，加大对海瑞、丘濬等本地历史名人法治文化的汲取传承，推动法治文化与民俗文化融合发展，编创特色普法琼戏、小品、情景剧、歌曲等群众喜闻乐见的法治文化作品。</w:t>
            </w: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6月27日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中小微企业日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中小企业促进法</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25" w:hRule="atLeast"/>
        </w:trPr>
        <w:tc>
          <w:tcPr>
            <w:tcW w:w="54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7月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7月1日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建党节</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党内法规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10" w:hRule="atLeast"/>
        </w:trPr>
        <w:tc>
          <w:tcPr>
            <w:tcW w:w="540" w:type="dxa"/>
            <w:vMerge w:val="restart"/>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8月1日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中国人民解放军建军节</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rPr>
              <w:t>国防法律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8月8日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全民健身日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体育法、全民健身条例等法律法规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i w:val="0"/>
                <w:caps w:val="0"/>
                <w:color w:val="000000"/>
                <w:spacing w:val="23"/>
                <w:sz w:val="24"/>
                <w:szCs w:val="24"/>
                <w:lang w:eastAsia="zh-CN"/>
              </w:rPr>
              <w:t>体育科组织一期体育法专题知识宣传，</w:t>
            </w: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35" w:hRule="atLeast"/>
        </w:trPr>
        <w:tc>
          <w:tcPr>
            <w:tcW w:w="540" w:type="dxa"/>
            <w:vMerge w:val="restart"/>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lang w:val="en-US" w:eastAsia="zh-CN"/>
              </w:rPr>
            </w:pPr>
            <w:r>
              <w:rPr>
                <w:rFonts w:hint="eastAsia" w:ascii="仿宋_GB2312" w:hAnsi="仿宋_GB2312" w:eastAsia="仿宋_GB2312" w:cs="仿宋_GB2312"/>
                <w:i w:val="0"/>
                <w:caps w:val="0"/>
                <w:color w:val="3E3E3E"/>
                <w:spacing w:val="23"/>
                <w:sz w:val="24"/>
                <w:szCs w:val="24"/>
                <w:lang w:val="en-US" w:eastAsia="zh-CN"/>
              </w:rPr>
              <w:t>9月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9月第三个周六</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全民国防教育日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rPr>
              <w:t>国防法律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930"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rPr>
              <w:t>民族团结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进步宣传月</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rPr>
              <w:t>民族法律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法规</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540" w:type="dxa"/>
            <w:vMerge w:val="restart"/>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10月1日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国庆节</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国旗法</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95" w:hRule="atLeast"/>
        </w:trPr>
        <w:tc>
          <w:tcPr>
            <w:tcW w:w="540" w:type="dxa"/>
            <w:vMerge w:val="continue"/>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eastAsia" w:ascii="仿宋_GB2312" w:hAnsi="仿宋_GB2312" w:eastAsia="仿宋_GB2312" w:cs="仿宋_GB2312"/>
                <w:i w:val="0"/>
                <w:caps w:val="0"/>
                <w:color w:val="3E3E3E"/>
                <w:spacing w:val="23"/>
                <w:sz w:val="24"/>
                <w:szCs w:val="24"/>
              </w:rPr>
            </w:pP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每年重阳</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中国老年节日</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老年人权益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保护法</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70" w:hRule="atLeast"/>
        </w:trPr>
        <w:tc>
          <w:tcPr>
            <w:tcW w:w="540" w:type="dxa"/>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default" w:ascii="仿宋_GB2312" w:hAnsi="仿宋_GB2312" w:eastAsia="仿宋_GB2312" w:cs="仿宋_GB2312"/>
                <w:i w:val="0"/>
                <w:caps w:val="0"/>
                <w:color w:val="3E3E3E"/>
                <w:spacing w:val="23"/>
                <w:sz w:val="24"/>
                <w:szCs w:val="24"/>
                <w:lang w:val="en-US" w:eastAsia="zh-CN"/>
              </w:rPr>
            </w:pPr>
            <w:r>
              <w:rPr>
                <w:rFonts w:hint="eastAsia" w:ascii="仿宋_GB2312" w:hAnsi="仿宋_GB2312" w:eastAsia="仿宋_GB2312" w:cs="仿宋_GB2312"/>
                <w:i w:val="0"/>
                <w:caps w:val="0"/>
                <w:color w:val="3E3E3E"/>
                <w:spacing w:val="23"/>
                <w:sz w:val="24"/>
                <w:szCs w:val="24"/>
                <w:lang w:val="en-US" w:eastAsia="zh-CN"/>
              </w:rPr>
              <w:t>11月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rPr>
            </w:pPr>
            <w:r>
              <w:rPr>
                <w:rFonts w:hint="eastAsia" w:ascii="仿宋_GB2312" w:hAnsi="仿宋_GB2312" w:eastAsia="仿宋_GB2312" w:cs="仿宋_GB2312"/>
                <w:i w:val="0"/>
                <w:caps w:val="0"/>
                <w:color w:val="000000"/>
                <w:spacing w:val="23"/>
                <w:sz w:val="24"/>
                <w:szCs w:val="24"/>
                <w:lang w:val="en-US" w:eastAsia="zh-CN"/>
              </w:rPr>
              <w:t>《海南自由贸易港优化营商环境条例》《海南自由贸易港反消费欺诈规定》《海南自由贸易港公平竞争条例》《海南自由贸易港社会信用条例》</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sz w:val="24"/>
                <w:szCs w:val="24"/>
                <w:lang w:eastAsia="zh-CN"/>
              </w:rPr>
              <w:t>各单位利用户外 LED 屏、各类宣传橱窗、官网、官微等媒介宣传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trPr>
        <w:tc>
          <w:tcPr>
            <w:tcW w:w="540" w:type="dxa"/>
            <w:tcBorders>
              <w:tl2br w:val="nil"/>
              <w:tr2bl w:val="nil"/>
            </w:tcBorders>
            <w:shd w:val="clear" w:color="auto" w:fill="FFFFFF"/>
            <w:noWrap w:val="0"/>
            <w:tcMar>
              <w:left w:w="105" w:type="dxa"/>
              <w:right w:w="105" w:type="dxa"/>
            </w:tcMar>
            <w:vAlign w:val="center"/>
          </w:tcPr>
          <w:p>
            <w:pPr>
              <w:keepNext w:val="0"/>
              <w:keepLines w:val="0"/>
              <w:pageBreakBefore w:val="0"/>
              <w:widowControl/>
              <w:kinsoku/>
              <w:overflowPunct/>
              <w:topLinePunct w:val="0"/>
              <w:autoSpaceDE/>
              <w:autoSpaceDN/>
              <w:bidi w:val="0"/>
              <w:adjustRightInd/>
              <w:snapToGrid/>
              <w:spacing w:line="360" w:lineRule="exact"/>
              <w:jc w:val="both"/>
              <w:rPr>
                <w:rFonts w:hint="default" w:ascii="仿宋_GB2312" w:hAnsi="仿宋_GB2312" w:eastAsia="仿宋_GB2312" w:cs="仿宋_GB2312"/>
                <w:i w:val="0"/>
                <w:caps w:val="0"/>
                <w:color w:val="3E3E3E"/>
                <w:spacing w:val="23"/>
                <w:sz w:val="24"/>
                <w:szCs w:val="24"/>
                <w:lang w:val="en-US" w:eastAsia="zh-CN"/>
              </w:rPr>
            </w:pPr>
            <w:r>
              <w:rPr>
                <w:rFonts w:hint="eastAsia" w:ascii="仿宋_GB2312" w:hAnsi="仿宋_GB2312" w:eastAsia="仿宋_GB2312" w:cs="仿宋_GB2312"/>
                <w:i w:val="0"/>
                <w:caps w:val="0"/>
                <w:color w:val="3E3E3E"/>
                <w:spacing w:val="23"/>
                <w:sz w:val="24"/>
                <w:szCs w:val="24"/>
                <w:lang w:val="en-US" w:eastAsia="zh-CN"/>
              </w:rPr>
              <w:t>12月</w:t>
            </w:r>
          </w:p>
        </w:tc>
        <w:tc>
          <w:tcPr>
            <w:tcW w:w="10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12月4日</w:t>
            </w:r>
          </w:p>
        </w:tc>
        <w:tc>
          <w:tcPr>
            <w:tcW w:w="190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国家宪法日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（宪法宣传周）</w:t>
            </w:r>
          </w:p>
        </w:tc>
        <w:tc>
          <w:tcPr>
            <w:tcW w:w="2775"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aps w:val="0"/>
                <w:color w:val="000000"/>
                <w:spacing w:val="23"/>
                <w:sz w:val="24"/>
                <w:szCs w:val="24"/>
              </w:rPr>
              <w:t>按指定主题</w:t>
            </w:r>
          </w:p>
        </w:tc>
        <w:tc>
          <w:tcPr>
            <w:tcW w:w="3930" w:type="dxa"/>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文化艺术科指导群众艺术馆组织一期书画说宪法活动、图书馆组织一期微课讲宪法活动(市场推广科协助，组织局微信运营方录播剪辑或直播形式推出)，政策法规科组织好网络学宪法活动等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70" w:hRule="atLeast"/>
        </w:trPr>
        <w:tc>
          <w:tcPr>
            <w:tcW w:w="1545" w:type="dxa"/>
            <w:gridSpan w:val="2"/>
            <w:tcBorders>
              <w:tl2br w:val="nil"/>
              <w:tr2bl w:val="nil"/>
            </w:tcBorders>
            <w:shd w:val="clear" w:color="auto" w:fill="FFFFFF"/>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仿宋_GB2312" w:hAnsi="仿宋_GB2312" w:eastAsia="仿宋_GB2312" w:cs="仿宋_GB2312"/>
                <w:i w:val="0"/>
                <w:caps w:val="0"/>
                <w:color w:val="000000"/>
                <w:spacing w:val="23"/>
                <w:sz w:val="24"/>
                <w:szCs w:val="24"/>
                <w:lang w:eastAsia="zh-CN"/>
              </w:rPr>
            </w:pPr>
            <w:r>
              <w:rPr>
                <w:rFonts w:hint="eastAsia" w:ascii="仿宋_GB2312" w:hAnsi="仿宋_GB2312" w:eastAsia="仿宋_GB2312" w:cs="仿宋_GB2312"/>
                <w:i w:val="0"/>
                <w:caps w:val="0"/>
                <w:color w:val="000000"/>
                <w:spacing w:val="23"/>
                <w:sz w:val="24"/>
                <w:szCs w:val="24"/>
                <w:lang w:eastAsia="zh-CN"/>
              </w:rPr>
              <w:t>备注</w:t>
            </w:r>
          </w:p>
        </w:tc>
        <w:tc>
          <w:tcPr>
            <w:tcW w:w="8610" w:type="dxa"/>
            <w:gridSpan w:val="3"/>
            <w:tcBorders>
              <w:tl2br w:val="nil"/>
              <w:tr2bl w:val="nil"/>
            </w:tcBorders>
            <w:shd w:val="clear" w:color="auto" w:fill="FFFFFF"/>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val="0"/>
              <w:spacing w:line="380" w:lineRule="exact"/>
              <w:jc w:val="left"/>
              <w:textAlignment w:val="auto"/>
              <w:rPr>
                <w:rFonts w:hint="eastAsia" w:ascii="仿宋_GB2312" w:hAnsi="仿宋_GB2312" w:eastAsia="仿宋_GB2312" w:cs="仿宋_GB2312"/>
                <w:color w:val="000000"/>
                <w:spacing w:val="0"/>
                <w:w w:val="100"/>
                <w:sz w:val="24"/>
                <w:szCs w:val="24"/>
                <w:shd w:val="clear" w:color="auto" w:fill="auto"/>
              </w:rPr>
            </w:pPr>
            <w:r>
              <w:rPr>
                <w:rFonts w:hint="eastAsia" w:ascii="仿宋_GB2312" w:hAnsi="仿宋_GB2312" w:eastAsia="仿宋_GB2312" w:cs="仿宋_GB2312"/>
                <w:color w:val="000000"/>
                <w:spacing w:val="0"/>
                <w:w w:val="100"/>
                <w:sz w:val="24"/>
                <w:szCs w:val="24"/>
                <w:shd w:val="clear" w:color="auto" w:fill="auto"/>
                <w:lang w:val="en-US" w:eastAsia="zh-CN"/>
              </w:rPr>
              <w:t>1</w:t>
            </w:r>
            <w:r>
              <w:rPr>
                <w:rFonts w:hint="eastAsia" w:ascii="仿宋_GB2312" w:hAnsi="仿宋_GB2312" w:eastAsia="仿宋_GB2312" w:cs="仿宋_GB2312"/>
                <w:color w:val="000000"/>
                <w:spacing w:val="0"/>
                <w:w w:val="100"/>
                <w:sz w:val="24"/>
                <w:szCs w:val="24"/>
                <w:shd w:val="clear" w:color="auto" w:fill="auto"/>
              </w:rPr>
              <w:t>.</w:t>
            </w:r>
            <w:r>
              <w:rPr>
                <w:rFonts w:hint="eastAsia" w:ascii="仿宋_GB2312" w:hAnsi="仿宋_GB2312" w:eastAsia="仿宋_GB2312" w:cs="仿宋_GB2312"/>
                <w:color w:val="000000"/>
                <w:spacing w:val="0"/>
                <w:w w:val="100"/>
                <w:sz w:val="24"/>
                <w:szCs w:val="24"/>
                <w:shd w:val="clear" w:color="auto" w:fill="auto"/>
                <w:lang w:eastAsia="zh-CN"/>
              </w:rPr>
              <w:t>各下属单位、行业协会和相关科室</w:t>
            </w:r>
            <w:r>
              <w:rPr>
                <w:rFonts w:hint="eastAsia" w:ascii="仿宋_GB2312" w:hAnsi="仿宋_GB2312" w:eastAsia="仿宋_GB2312" w:cs="仿宋_GB2312"/>
                <w:color w:val="000000"/>
                <w:spacing w:val="0"/>
                <w:w w:val="100"/>
                <w:sz w:val="24"/>
                <w:szCs w:val="24"/>
                <w:shd w:val="clear" w:color="auto" w:fill="auto"/>
              </w:rPr>
              <w:t>要结合实际，突出但不限于以上</w:t>
            </w:r>
            <w:r>
              <w:rPr>
                <w:rFonts w:hint="eastAsia" w:ascii="仿宋_GB2312" w:hAnsi="仿宋_GB2312" w:eastAsia="仿宋_GB2312" w:cs="仿宋_GB2312"/>
                <w:color w:val="000000"/>
                <w:spacing w:val="0"/>
                <w:w w:val="100"/>
                <w:sz w:val="24"/>
                <w:szCs w:val="24"/>
                <w:shd w:val="clear" w:color="auto" w:fill="auto"/>
                <w:lang w:eastAsia="zh-CN"/>
              </w:rPr>
              <w:t>重要时间</w:t>
            </w:r>
            <w:r>
              <w:rPr>
                <w:rFonts w:hint="eastAsia" w:ascii="仿宋_GB2312" w:hAnsi="仿宋_GB2312" w:eastAsia="仿宋_GB2312" w:cs="仿宋_GB2312"/>
                <w:color w:val="000000"/>
                <w:spacing w:val="0"/>
                <w:w w:val="100"/>
                <w:sz w:val="24"/>
                <w:szCs w:val="24"/>
                <w:shd w:val="clear" w:color="auto" w:fill="auto"/>
              </w:rPr>
              <w:t>节点</w:t>
            </w:r>
            <w:r>
              <w:rPr>
                <w:rFonts w:hint="eastAsia" w:ascii="仿宋_GB2312" w:hAnsi="仿宋_GB2312" w:eastAsia="仿宋_GB2312" w:cs="仿宋_GB2312"/>
                <w:color w:val="000000"/>
                <w:spacing w:val="0"/>
                <w:w w:val="100"/>
                <w:sz w:val="24"/>
                <w:szCs w:val="24"/>
                <w:shd w:val="clear" w:color="auto" w:fill="auto"/>
                <w:lang w:eastAsia="zh-CN"/>
              </w:rPr>
              <w:t>，要</w:t>
            </w:r>
            <w:r>
              <w:rPr>
                <w:rFonts w:hint="eastAsia" w:ascii="仿宋_GB2312" w:hAnsi="仿宋_GB2312" w:eastAsia="仿宋_GB2312" w:cs="仿宋_GB2312"/>
                <w:color w:val="000000"/>
                <w:spacing w:val="0"/>
                <w:w w:val="100"/>
                <w:sz w:val="24"/>
                <w:szCs w:val="24"/>
                <w:shd w:val="clear" w:color="auto" w:fill="auto"/>
              </w:rPr>
              <w:t>统筹</w:t>
            </w:r>
            <w:r>
              <w:rPr>
                <w:rFonts w:hint="eastAsia" w:ascii="仿宋_GB2312" w:hAnsi="仿宋_GB2312" w:eastAsia="仿宋_GB2312" w:cs="仿宋_GB2312"/>
                <w:color w:val="000000"/>
                <w:spacing w:val="0"/>
                <w:w w:val="100"/>
                <w:sz w:val="24"/>
                <w:szCs w:val="24"/>
                <w:shd w:val="clear" w:color="auto" w:fill="auto"/>
                <w:lang w:eastAsia="zh-CN"/>
              </w:rPr>
              <w:t>谋</w:t>
            </w:r>
            <w:r>
              <w:rPr>
                <w:rFonts w:hint="eastAsia" w:ascii="仿宋_GB2312" w:hAnsi="仿宋_GB2312" w:eastAsia="仿宋_GB2312" w:cs="仿宋_GB2312"/>
                <w:color w:val="000000"/>
                <w:spacing w:val="0"/>
                <w:w w:val="100"/>
                <w:sz w:val="24"/>
                <w:szCs w:val="24"/>
                <w:shd w:val="clear" w:color="auto" w:fill="auto"/>
              </w:rPr>
              <w:t>划，</w:t>
            </w:r>
            <w:r>
              <w:rPr>
                <w:rFonts w:hint="eastAsia" w:ascii="仿宋_GB2312" w:hAnsi="仿宋_GB2312" w:eastAsia="仿宋_GB2312" w:cs="仿宋_GB2312"/>
                <w:color w:val="000000"/>
                <w:spacing w:val="0"/>
                <w:w w:val="100"/>
                <w:sz w:val="24"/>
                <w:szCs w:val="24"/>
                <w:shd w:val="clear" w:color="auto" w:fill="auto"/>
                <w:lang w:eastAsia="zh-CN"/>
              </w:rPr>
              <w:t>落实“</w:t>
            </w:r>
            <w:r>
              <w:rPr>
                <w:rFonts w:hint="eastAsia" w:ascii="仿宋_GB2312" w:hAnsi="仿宋_GB2312" w:eastAsia="仿宋_GB2312" w:cs="仿宋_GB2312"/>
                <w:color w:val="000000"/>
                <w:spacing w:val="0"/>
                <w:w w:val="100"/>
                <w:sz w:val="24"/>
                <w:szCs w:val="24"/>
                <w:shd w:val="clear" w:color="auto" w:fill="auto"/>
              </w:rPr>
              <w:t>谁执法谁普法</w:t>
            </w:r>
            <w:r>
              <w:rPr>
                <w:rFonts w:hint="eastAsia" w:ascii="仿宋_GB2312" w:hAnsi="仿宋_GB2312" w:eastAsia="仿宋_GB2312" w:cs="仿宋_GB2312"/>
                <w:color w:val="000000"/>
                <w:spacing w:val="0"/>
                <w:w w:val="100"/>
                <w:sz w:val="24"/>
                <w:szCs w:val="24"/>
                <w:shd w:val="clear" w:color="auto" w:fill="auto"/>
                <w:lang w:eastAsia="zh-CN"/>
              </w:rPr>
              <w:t>、</w:t>
            </w:r>
            <w:r>
              <w:rPr>
                <w:rFonts w:hint="eastAsia" w:ascii="仿宋_GB2312" w:hAnsi="仿宋_GB2312" w:eastAsia="仿宋_GB2312" w:cs="仿宋_GB2312"/>
                <w:color w:val="000000"/>
                <w:spacing w:val="0"/>
                <w:w w:val="100"/>
                <w:sz w:val="24"/>
                <w:szCs w:val="24"/>
                <w:shd w:val="clear" w:color="auto" w:fill="auto"/>
              </w:rPr>
              <w:t>谁管理谁普法</w:t>
            </w:r>
            <w:r>
              <w:rPr>
                <w:rFonts w:hint="eastAsia" w:ascii="仿宋_GB2312" w:hAnsi="仿宋_GB2312" w:eastAsia="仿宋_GB2312" w:cs="仿宋_GB2312"/>
                <w:color w:val="000000"/>
                <w:spacing w:val="0"/>
                <w:w w:val="100"/>
                <w:sz w:val="24"/>
                <w:szCs w:val="24"/>
                <w:shd w:val="clear" w:color="auto" w:fill="auto"/>
                <w:lang w:eastAsia="zh-CN"/>
              </w:rPr>
              <w:t>、</w:t>
            </w:r>
            <w:r>
              <w:rPr>
                <w:rFonts w:hint="eastAsia" w:ascii="仿宋_GB2312" w:hAnsi="仿宋_GB2312" w:eastAsia="仿宋_GB2312" w:cs="仿宋_GB2312"/>
                <w:color w:val="000000"/>
                <w:spacing w:val="0"/>
                <w:w w:val="100"/>
                <w:sz w:val="24"/>
                <w:szCs w:val="24"/>
                <w:shd w:val="clear" w:color="auto" w:fill="auto"/>
              </w:rPr>
              <w:t>谁服务谁普法</w:t>
            </w:r>
            <w:r>
              <w:rPr>
                <w:rFonts w:hint="eastAsia" w:ascii="仿宋_GB2312" w:hAnsi="仿宋_GB2312" w:eastAsia="仿宋_GB2312" w:cs="仿宋_GB2312"/>
                <w:color w:val="000000"/>
                <w:spacing w:val="0"/>
                <w:w w:val="100"/>
                <w:sz w:val="24"/>
                <w:szCs w:val="24"/>
                <w:shd w:val="clear" w:color="auto" w:fill="auto"/>
                <w:lang w:eastAsia="zh-CN"/>
              </w:rPr>
              <w:t>”普法责任制，市场推广科要抓好局官微普法宣传、综合科要抓好局官网普法宣传，政策法规科要</w:t>
            </w:r>
            <w:r>
              <w:rPr>
                <w:rFonts w:hint="eastAsia" w:ascii="仿宋_GB2312" w:hAnsi="仿宋_GB2312" w:eastAsia="仿宋_GB2312" w:cs="仿宋_GB2312"/>
                <w:color w:val="000000"/>
                <w:spacing w:val="0"/>
                <w:w w:val="100"/>
                <w:sz w:val="24"/>
                <w:szCs w:val="24"/>
                <w:shd w:val="clear" w:color="auto" w:fill="auto"/>
              </w:rPr>
              <w:t>开展好重点</w:t>
            </w:r>
            <w:r>
              <w:rPr>
                <w:rFonts w:hint="eastAsia" w:ascii="仿宋_GB2312" w:hAnsi="仿宋_GB2312" w:eastAsia="仿宋_GB2312" w:cs="仿宋_GB2312"/>
                <w:color w:val="000000"/>
                <w:spacing w:val="0"/>
                <w:w w:val="100"/>
                <w:sz w:val="24"/>
                <w:szCs w:val="24"/>
                <w:shd w:val="clear" w:color="auto" w:fill="auto"/>
                <w:lang w:eastAsia="zh-CN"/>
              </w:rPr>
              <w:t>时节线下普法宣传</w:t>
            </w:r>
            <w:r>
              <w:rPr>
                <w:rFonts w:hint="eastAsia" w:ascii="仿宋_GB2312" w:hAnsi="仿宋_GB2312" w:eastAsia="仿宋_GB2312" w:cs="仿宋_GB2312"/>
                <w:color w:val="000000"/>
                <w:spacing w:val="0"/>
                <w:w w:val="100"/>
                <w:sz w:val="24"/>
                <w:szCs w:val="24"/>
                <w:shd w:val="clear" w:color="auto" w:fill="auto"/>
              </w:rPr>
              <w:t>。</w:t>
            </w:r>
          </w:p>
          <w:p>
            <w:pPr>
              <w:keepNext w:val="0"/>
              <w:keepLines w:val="0"/>
              <w:pageBreakBefore w:val="0"/>
              <w:widowControl/>
              <w:kinsoku/>
              <w:wordWrap/>
              <w:overflowPunct/>
              <w:topLinePunct w:val="0"/>
              <w:autoSpaceDE/>
              <w:autoSpaceDN/>
              <w:bidi w:val="0"/>
              <w:adjustRightInd/>
              <w:snapToGrid w:val="0"/>
              <w:spacing w:line="38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pacing w:val="0"/>
                <w:w w:val="100"/>
                <w:sz w:val="24"/>
                <w:szCs w:val="24"/>
                <w:shd w:val="clear" w:color="auto" w:fill="auto"/>
                <w:lang w:val="en-US" w:eastAsia="zh-CN"/>
              </w:rPr>
              <w:t>2.</w:t>
            </w:r>
            <w:r>
              <w:rPr>
                <w:rFonts w:hint="eastAsia" w:ascii="仿宋_GB2312" w:hAnsi="仿宋_GB2312" w:eastAsia="仿宋_GB2312" w:cs="仿宋_GB2312"/>
                <w:sz w:val="24"/>
                <w:szCs w:val="24"/>
                <w:lang w:eastAsia="zh-CN"/>
              </w:rPr>
              <w:t>各单位要充分利用户外 LED 屏、各类宣传橱窗、官网、官微等媒介做好普法宣传，及时将有关材料报送至邮箱</w:t>
            </w:r>
            <w:r>
              <w:rPr>
                <w:rFonts w:hint="eastAsia" w:ascii="仿宋_GB2312" w:hAnsi="仿宋_GB2312" w:eastAsia="仿宋_GB2312" w:cs="仿宋_GB2312"/>
                <w:sz w:val="24"/>
                <w:szCs w:val="24"/>
                <w:lang w:val="en-US" w:eastAsia="zh-CN"/>
              </w:rPr>
              <w:t>66752390@163.com</w:t>
            </w:r>
            <w:r>
              <w:rPr>
                <w:rFonts w:hint="eastAsia" w:ascii="仿宋_GB2312" w:hAnsi="仿宋_GB2312" w:eastAsia="仿宋_GB2312" w:cs="仿宋_GB2312"/>
                <w:color w:val="000000"/>
                <w:spacing w:val="0"/>
                <w:w w:val="100"/>
                <w:sz w:val="24"/>
                <w:szCs w:val="24"/>
                <w:shd w:val="clear" w:color="auto" w:fill="auto"/>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MWUzN2RlMThmMTBhMWFhODMyMTBiZTc2NTdmZmYifQ=="/>
  </w:docVars>
  <w:rsids>
    <w:rsidRoot w:val="00000000"/>
    <w:rsid w:val="0CFC75A5"/>
    <w:rsid w:val="0EF10D38"/>
    <w:rsid w:val="1582749A"/>
    <w:rsid w:val="16A77DC5"/>
    <w:rsid w:val="1D591C4E"/>
    <w:rsid w:val="204A4C34"/>
    <w:rsid w:val="21F608D0"/>
    <w:rsid w:val="24646FED"/>
    <w:rsid w:val="2ABF2A2F"/>
    <w:rsid w:val="2F9A1BF1"/>
    <w:rsid w:val="30752588"/>
    <w:rsid w:val="34B25A2A"/>
    <w:rsid w:val="3F132F0B"/>
    <w:rsid w:val="4A5E47CC"/>
    <w:rsid w:val="5A704E7D"/>
    <w:rsid w:val="5B587E30"/>
    <w:rsid w:val="5E9E6C1D"/>
    <w:rsid w:val="66E606DE"/>
    <w:rsid w:val="68AC1674"/>
    <w:rsid w:val="75E9790C"/>
    <w:rsid w:val="768C764E"/>
    <w:rsid w:val="788028A0"/>
    <w:rsid w:val="799B0A8E"/>
    <w:rsid w:val="7B391660"/>
    <w:rsid w:val="7D8574B6"/>
    <w:rsid w:val="7EAF2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unhideWhenUsed/>
    <w:qFormat/>
    <w:uiPriority w:val="0"/>
    <w:pPr>
      <w:keepNext/>
      <w:keepLines/>
      <w:outlineLvl w:val="2"/>
    </w:pPr>
    <w:rPr>
      <w:rFonts w:ascii="Times New Roman" w:hAnsi="Times New Roman" w:eastAsia="方正小标宋简体" w:cs="Times New Roman"/>
      <w:bCs/>
      <w:kern w:val="0"/>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1632</Words>
  <Characters>1705</Characters>
  <Lines>0</Lines>
  <Paragraphs>0</Paragraphs>
  <TotalTime>36</TotalTime>
  <ScaleCrop>false</ScaleCrop>
  <LinksUpToDate>false</LinksUpToDate>
  <CharactersWithSpaces>1747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2023-03-13T00:47:00Z</cp:lastPrinted>
  <dcterms:modified xsi:type="dcterms:W3CDTF">2023-05-04T01:58:39Z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4F54FB83F0F24F49A5F0FF4BBF217966</vt:lpwstr>
  </property>
</Properties>
</file>