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8"/>
        <w:ind w:firstLine="0" w:firstLineChars="0"/>
        <w:rPr>
          <w:rFonts w:hint="eastAsia" w:ascii="方正小标宋简体" w:eastAsia="方正小标宋简体"/>
          <w:sz w:val="40"/>
          <w:szCs w:val="40"/>
        </w:rPr>
      </w:pPr>
      <w:r>
        <w:rPr>
          <w:rFonts w:hint="eastAsia" w:ascii="方正小标宋简体" w:eastAsia="方正小标宋简体"/>
          <w:sz w:val="40"/>
          <w:szCs w:val="40"/>
        </w:rPr>
        <w:t>海口湾畅通工程6号高标准驿站项目</w:t>
      </w:r>
    </w:p>
    <w:p>
      <w:pPr>
        <w:pStyle w:val="8"/>
        <w:ind w:firstLine="0" w:firstLineChars="0"/>
        <w:rPr>
          <w:rFonts w:ascii="方正小标宋简体" w:eastAsia="方正小标宋简体"/>
          <w:sz w:val="40"/>
          <w:szCs w:val="40"/>
        </w:rPr>
      </w:pPr>
      <w:r>
        <w:rPr>
          <w:rFonts w:hint="eastAsia" w:ascii="方正小标宋简体" w:eastAsia="方正小标宋简体"/>
          <w:sz w:val="40"/>
          <w:szCs w:val="40"/>
        </w:rPr>
        <w:t>2</w:t>
      </w:r>
      <w:r>
        <w:rPr>
          <w:rFonts w:ascii="方正小标宋简体" w:eastAsia="方正小标宋简体"/>
          <w:sz w:val="40"/>
          <w:szCs w:val="40"/>
        </w:rPr>
        <w:t>02</w:t>
      </w:r>
      <w:r>
        <w:rPr>
          <w:rFonts w:hint="eastAsia" w:ascii="方正小标宋简体" w:eastAsia="方正小标宋简体"/>
          <w:sz w:val="40"/>
          <w:szCs w:val="40"/>
          <w:lang w:val="en-US" w:eastAsia="zh-CN"/>
        </w:rPr>
        <w:t>1</w:t>
      </w:r>
      <w:r>
        <w:rPr>
          <w:rFonts w:hint="eastAsia" w:ascii="方正小标宋简体" w:eastAsia="方正小标宋简体"/>
          <w:sz w:val="40"/>
          <w:szCs w:val="40"/>
        </w:rPr>
        <w:t>年度绩效自评报告</w:t>
      </w:r>
    </w:p>
    <w:p/>
    <w:p/>
    <w:p>
      <w:pPr>
        <w:pStyle w:val="3"/>
      </w:pPr>
      <w:r>
        <w:rPr>
          <w:rFonts w:hint="eastAsia"/>
        </w:rPr>
        <w:t>一、基本情况</w:t>
      </w:r>
    </w:p>
    <w:p>
      <w:pPr>
        <w:pStyle w:val="3"/>
      </w:pPr>
      <w:r>
        <w:rPr>
          <w:rFonts w:hint="eastAsia"/>
        </w:rPr>
        <w:t>（一）项目概况</w:t>
      </w:r>
    </w:p>
    <w:p>
      <w:pPr>
        <w:rPr>
          <w:rFonts w:hint="eastAsia" w:ascii="仿宋" w:hAnsi="仿宋" w:eastAsia="仿宋" w:cs="仿宋"/>
          <w:szCs w:val="32"/>
        </w:rPr>
      </w:pPr>
      <w:r>
        <w:rPr>
          <w:rFonts w:hint="eastAsia"/>
          <w:u w:val="single"/>
        </w:rPr>
        <w:t>海口湾畅通工程6号高标准驿站项目</w:t>
      </w:r>
      <w:r>
        <w:rPr>
          <w:rFonts w:hint="eastAsia"/>
        </w:rPr>
        <w:t>业主为</w:t>
      </w:r>
      <w:r>
        <w:rPr>
          <w:rFonts w:hint="eastAsia"/>
          <w:u w:val="single"/>
          <w:lang w:val="en-US" w:eastAsia="zh-CN"/>
        </w:rPr>
        <w:t>海口旅游文化投资控股集团有限公</w:t>
      </w:r>
      <w:r>
        <w:rPr>
          <w:rFonts w:hint="eastAsia"/>
          <w:u w:val="single"/>
        </w:rPr>
        <w:t>司</w:t>
      </w:r>
      <w:r>
        <w:rPr>
          <w:rFonts w:hint="eastAsia"/>
        </w:rPr>
        <w:t>，项目位于海口市</w:t>
      </w:r>
      <w:r>
        <w:rPr>
          <w:rFonts w:hint="eastAsia"/>
          <w:lang w:val="en-US" w:eastAsia="zh-CN"/>
        </w:rPr>
        <w:t>美兰区海甸岛西南侧</w:t>
      </w:r>
      <w:r>
        <w:rPr>
          <w:rFonts w:hint="eastAsia"/>
        </w:rPr>
        <w:t>，</w:t>
      </w:r>
      <w:r>
        <w:rPr>
          <w:rFonts w:hint="eastAsia"/>
          <w:lang w:val="en-US" w:eastAsia="zh-CN"/>
        </w:rPr>
        <w:t>海甸岛五西路往东南方向</w:t>
      </w:r>
      <w:r>
        <w:rPr>
          <w:rFonts w:hint="eastAsia"/>
        </w:rPr>
        <w:t>约</w:t>
      </w:r>
      <w:r>
        <w:rPr>
          <w:rFonts w:hint="eastAsia"/>
          <w:lang w:val="en-US" w:eastAsia="zh-CN"/>
        </w:rPr>
        <w:t>5</w:t>
      </w:r>
      <w:r>
        <w:rPr>
          <w:rFonts w:hint="eastAsia"/>
        </w:rPr>
        <w:t>00米处。项目位于海口市海甸岛 美丽沙海岸西北处、美丽沙湿地公园北侧，拟建驿站为地上一层、地下一层，建筑屋面呈三维曲面造型，局部屋檐最高点11.08m,总建筑面积3606.67平米；其中地上 3051.75平米，主要为驿站服务功能；地下室554.92平米，主要为拍摄用房及设备用房；包括土建、安装、室外配套等内容。概算总投资为10159.10万元，其中工程费8487.74万元，工程建设其他费1054.04万元，预备费477.09万元，代建单位管理费140.23万元。</w:t>
      </w:r>
    </w:p>
    <w:p>
      <w:pPr>
        <w:pStyle w:val="3"/>
      </w:pPr>
      <w:r>
        <w:rPr>
          <w:rFonts w:hint="eastAsia"/>
        </w:rPr>
        <w:t>（二）项目资金情况。</w:t>
      </w:r>
    </w:p>
    <w:p>
      <w:pPr>
        <w:rPr>
          <w:rFonts w:hint="default" w:eastAsia="仿宋_GB2312"/>
          <w:lang w:val="en-US" w:eastAsia="zh-CN"/>
        </w:rPr>
      </w:pPr>
      <w:r>
        <w:rPr>
          <w:rFonts w:hint="eastAsia"/>
        </w:rPr>
        <w:t>该项目20</w:t>
      </w:r>
      <w:r>
        <w:rPr>
          <w:rFonts w:hint="eastAsia"/>
          <w:lang w:val="en-US" w:eastAsia="zh-CN"/>
        </w:rPr>
        <w:t>21</w:t>
      </w:r>
      <w:r>
        <w:rPr>
          <w:rFonts w:hint="eastAsia"/>
        </w:rPr>
        <w:t>年共到位资金</w:t>
      </w:r>
      <w:r>
        <w:rPr>
          <w:rFonts w:hint="eastAsia"/>
          <w:lang w:val="en-US" w:eastAsia="zh-CN"/>
        </w:rPr>
        <w:t>3170</w:t>
      </w:r>
      <w:r>
        <w:rPr>
          <w:rFonts w:hint="eastAsia"/>
        </w:rPr>
        <w:t>万元，其中2021年地债资金</w:t>
      </w:r>
      <w:r>
        <w:rPr>
          <w:rFonts w:hint="eastAsia"/>
          <w:lang w:val="en-US" w:eastAsia="zh-CN"/>
        </w:rPr>
        <w:t>3170</w:t>
      </w:r>
      <w:r>
        <w:rPr>
          <w:rFonts w:hint="eastAsia"/>
        </w:rPr>
        <w:t>万元</w:t>
      </w:r>
      <w:r>
        <w:rPr>
          <w:rFonts w:hint="eastAsia"/>
          <w:lang w:eastAsia="zh-CN"/>
        </w:rPr>
        <w:t>，</w:t>
      </w:r>
      <w:r>
        <w:rPr>
          <w:rFonts w:hint="eastAsia"/>
          <w:lang w:val="en-US" w:eastAsia="zh-CN"/>
        </w:rPr>
        <w:t>已全部支出。</w:t>
      </w:r>
    </w:p>
    <w:p>
      <w:pPr>
        <w:pStyle w:val="3"/>
      </w:pPr>
      <w:r>
        <w:rPr>
          <w:rFonts w:hint="eastAsia"/>
        </w:rPr>
        <w:t>二、绩效目标完成情况分析</w:t>
      </w:r>
    </w:p>
    <w:p>
      <w:pPr>
        <w:pStyle w:val="3"/>
      </w:pPr>
      <w:r>
        <w:rPr>
          <w:rFonts w:hint="eastAsia"/>
        </w:rPr>
        <w:t>（一）资金情况分析。</w:t>
      </w:r>
    </w:p>
    <w:p>
      <w:r>
        <w:rPr>
          <w:rFonts w:hint="eastAsia"/>
        </w:rPr>
        <w:t>该项目202</w:t>
      </w:r>
      <w:r>
        <w:rPr>
          <w:rFonts w:hint="eastAsia"/>
          <w:lang w:val="en-US" w:eastAsia="zh-CN"/>
        </w:rPr>
        <w:t>1</w:t>
      </w:r>
      <w:r>
        <w:rPr>
          <w:rFonts w:hint="eastAsia"/>
        </w:rPr>
        <w:t>年共到位资金</w:t>
      </w:r>
      <w:r>
        <w:rPr>
          <w:rFonts w:hint="eastAsia"/>
          <w:lang w:val="en-US" w:eastAsia="zh-CN"/>
        </w:rPr>
        <w:t>3170</w:t>
      </w:r>
      <w:r>
        <w:rPr>
          <w:rFonts w:hint="eastAsia"/>
        </w:rPr>
        <w:t>万元</w:t>
      </w:r>
      <w:r>
        <w:rPr>
          <w:rFonts w:hint="eastAsia"/>
          <w:lang w:val="en-US" w:eastAsia="zh-CN"/>
        </w:rPr>
        <w:t>，</w:t>
      </w:r>
      <w:r>
        <w:rPr>
          <w:rFonts w:hint="eastAsia"/>
        </w:rPr>
        <w:t>2021年地债资金</w:t>
      </w:r>
      <w:r>
        <w:rPr>
          <w:rFonts w:hint="eastAsia"/>
          <w:lang w:val="en-US" w:eastAsia="zh-CN"/>
        </w:rPr>
        <w:t>3170</w:t>
      </w:r>
      <w:r>
        <w:rPr>
          <w:rFonts w:hint="eastAsia"/>
        </w:rPr>
        <w:t>万元。在项目资金使用上，业主单位严格执行政府投资项目和资金管理办法，严格落实资金审批程序，加快资金拨付，全面保障项目建设资金用款需要。</w:t>
      </w:r>
    </w:p>
    <w:p>
      <w:pPr>
        <w:pStyle w:val="3"/>
        <w:numPr>
          <w:ilvl w:val="0"/>
          <w:numId w:val="1"/>
        </w:numPr>
      </w:pPr>
      <w:r>
        <w:rPr>
          <w:rFonts w:hint="eastAsia"/>
        </w:rPr>
        <w:t>总体目标完成情况分析。</w:t>
      </w:r>
    </w:p>
    <w:p>
      <w:pPr>
        <w:rPr>
          <w:lang w:bidi="ar"/>
        </w:rPr>
      </w:pPr>
      <w:r>
        <w:rPr>
          <w:rFonts w:hint="eastAsia"/>
          <w:lang w:bidi="ar"/>
        </w:rPr>
        <w:t>项目年度目标为：</w:t>
      </w:r>
      <w:r>
        <w:rPr>
          <w:rFonts w:hint="eastAsia"/>
          <w:lang w:val="en-US" w:eastAsia="zh-CN"/>
        </w:rPr>
        <w:t>项目完成形象进度60%</w:t>
      </w:r>
      <w:r>
        <w:rPr>
          <w:rFonts w:hint="eastAsia"/>
          <w:lang w:bidi="ar"/>
        </w:rPr>
        <w:t>。</w:t>
      </w:r>
    </w:p>
    <w:p>
      <w:r>
        <w:rPr>
          <w:rFonts w:hint="eastAsia"/>
          <w:lang w:bidi="ar"/>
        </w:rPr>
        <w:t>项目年度完成情况：</w:t>
      </w:r>
    </w:p>
    <w:p>
      <w:r>
        <w:rPr>
          <w:rFonts w:hint="eastAsia"/>
        </w:rPr>
        <w:t>202</w:t>
      </w:r>
      <w:r>
        <w:rPr>
          <w:rFonts w:hint="eastAsia"/>
          <w:lang w:val="en-US" w:eastAsia="zh-CN"/>
        </w:rPr>
        <w:t>2</w:t>
      </w:r>
      <w:r>
        <w:rPr>
          <w:rFonts w:hint="eastAsia"/>
        </w:rPr>
        <w:t>年度完成</w:t>
      </w:r>
      <w:r>
        <w:rPr>
          <w:rFonts w:hint="eastAsia"/>
          <w:lang w:val="en-US" w:eastAsia="zh-CN"/>
        </w:rPr>
        <w:t>形象进度48%</w:t>
      </w:r>
      <w:r>
        <w:rPr>
          <w:rFonts w:hint="eastAsia"/>
          <w:lang w:bidi="ar"/>
        </w:rPr>
        <w:t>。</w:t>
      </w:r>
    </w:p>
    <w:p>
      <w:pPr>
        <w:pStyle w:val="3"/>
      </w:pPr>
      <w:r>
        <w:rPr>
          <w:rFonts w:hint="eastAsia"/>
        </w:rPr>
        <w:t>（三）绩效指标完成情况分析。</w:t>
      </w:r>
    </w:p>
    <w:p>
      <w:r>
        <w:rPr>
          <w:rFonts w:hint="eastAsia"/>
        </w:rPr>
        <w:t>1.产出指标：</w:t>
      </w:r>
    </w:p>
    <w:p>
      <w:pPr>
        <w:rPr>
          <w:rFonts w:hint="eastAsia"/>
        </w:rPr>
      </w:pPr>
      <w:r>
        <w:rPr>
          <w:rFonts w:hint="eastAsia"/>
        </w:rPr>
        <w:t>（1）目标：</w:t>
      </w:r>
      <w:r>
        <w:rPr>
          <w:rFonts w:hint="eastAsia"/>
          <w:lang w:val="en-US" w:eastAsia="zh-CN"/>
        </w:rPr>
        <w:t>项目完成形象进度60%</w:t>
      </w:r>
      <w:r>
        <w:rPr>
          <w:rFonts w:hint="eastAsia"/>
        </w:rPr>
        <w:t>。</w:t>
      </w:r>
    </w:p>
    <w:p>
      <w:r>
        <w:rPr>
          <w:rFonts w:hint="eastAsia"/>
        </w:rPr>
        <w:t>完成情况：</w:t>
      </w:r>
      <w:r>
        <w:rPr>
          <w:rFonts w:hint="eastAsia"/>
          <w:lang w:val="en-US" w:eastAsia="zh-CN"/>
        </w:rPr>
        <w:t>因涉及设计</w:t>
      </w:r>
      <w:bookmarkStart w:id="0" w:name="_GoBack"/>
      <w:bookmarkEnd w:id="0"/>
      <w:r>
        <w:rPr>
          <w:rFonts w:hint="eastAsia"/>
          <w:lang w:val="en-US" w:eastAsia="zh-CN"/>
        </w:rPr>
        <w:t>变更，故</w:t>
      </w:r>
      <w:r>
        <w:rPr>
          <w:rFonts w:hint="eastAsia"/>
        </w:rPr>
        <w:t>完成</w:t>
      </w:r>
      <w:r>
        <w:rPr>
          <w:rFonts w:hint="eastAsia"/>
          <w:lang w:val="en-US" w:eastAsia="zh-CN"/>
        </w:rPr>
        <w:t>形象进度48%</w:t>
      </w:r>
      <w:r>
        <w:rPr>
          <w:rFonts w:hint="eastAsia"/>
        </w:rPr>
        <w:t>。</w:t>
      </w:r>
    </w:p>
    <w:p>
      <w:pPr>
        <w:pStyle w:val="2"/>
        <w:numPr>
          <w:ilvl w:val="0"/>
          <w:numId w:val="2"/>
        </w:numPr>
        <w:ind w:firstLine="640"/>
        <w:rPr>
          <w:rFonts w:hint="eastAsia"/>
          <w:lang w:val="en-US" w:eastAsia="zh-CN"/>
        </w:rPr>
      </w:pPr>
      <w:r>
        <w:rPr>
          <w:rFonts w:hint="eastAsia"/>
        </w:rPr>
        <w:t>目标：超概算项目比例≤5%</w:t>
      </w:r>
    </w:p>
    <w:p>
      <w:pPr>
        <w:pStyle w:val="2"/>
        <w:ind w:firstLine="640"/>
        <w:rPr>
          <w:rFonts w:hint="default"/>
          <w:lang w:val="en-US" w:eastAsia="zh-CN"/>
        </w:rPr>
      </w:pPr>
      <w:r>
        <w:rPr>
          <w:rFonts w:hint="eastAsia"/>
        </w:rPr>
        <w:t>完成情况：未超出概算批复。</w:t>
      </w:r>
      <w:r>
        <w:rPr>
          <w:rFonts w:hint="eastAsia" w:hAnsi="仿宋_GB2312" w:cs="仿宋_GB2312"/>
          <w:szCs w:val="32"/>
        </w:rPr>
        <w:t>完成目标绩效。</w:t>
      </w:r>
    </w:p>
    <w:p>
      <w:r>
        <w:rPr>
          <w:rFonts w:hint="eastAsia"/>
        </w:rPr>
        <w:t>2.效益指标：</w:t>
      </w:r>
    </w:p>
    <w:p>
      <w:r>
        <w:rPr>
          <w:rFonts w:hint="eastAsia"/>
        </w:rPr>
        <w:t>目标：项目受益人数≥</w:t>
      </w:r>
      <w:r>
        <w:rPr>
          <w:rFonts w:hint="eastAsia"/>
          <w:lang w:val="en-US" w:eastAsia="zh-CN"/>
        </w:rPr>
        <w:t>10000</w:t>
      </w:r>
      <w:r>
        <w:rPr>
          <w:rFonts w:hint="eastAsia"/>
        </w:rPr>
        <w:t>人。</w:t>
      </w:r>
    </w:p>
    <w:p>
      <w:r>
        <w:rPr>
          <w:rFonts w:hint="eastAsia"/>
        </w:rPr>
        <w:t>完成情况：已完成。项目周边群众收益，受益人数已超</w:t>
      </w:r>
      <w:r>
        <w:rPr>
          <w:rFonts w:hint="eastAsia"/>
          <w:lang w:val="en-US" w:eastAsia="zh-CN"/>
        </w:rPr>
        <w:t>10000</w:t>
      </w:r>
      <w:r>
        <w:rPr>
          <w:rFonts w:hint="eastAsia"/>
        </w:rPr>
        <w:t>人。</w:t>
      </w:r>
    </w:p>
    <w:p>
      <w:r>
        <w:rPr>
          <w:rFonts w:hint="eastAsia"/>
        </w:rPr>
        <w:t>3.满意度指标：</w:t>
      </w:r>
    </w:p>
    <w:p>
      <w:r>
        <w:rPr>
          <w:rFonts w:hint="eastAsia"/>
        </w:rPr>
        <w:t>目标：受益群体满意度≥</w:t>
      </w:r>
      <w:r>
        <w:rPr>
          <w:rFonts w:hint="eastAsia"/>
          <w:lang w:val="en-US" w:eastAsia="zh-CN"/>
        </w:rPr>
        <w:t>95</w:t>
      </w:r>
      <w:r>
        <w:rPr>
          <w:rFonts w:hint="eastAsia"/>
        </w:rPr>
        <w:t>%</w:t>
      </w:r>
    </w:p>
    <w:p>
      <w:r>
        <w:rPr>
          <w:rFonts w:hint="eastAsia"/>
        </w:rPr>
        <w:t>完成情况：未发现受益群众不满意情况，完成目标绩效。</w:t>
      </w:r>
    </w:p>
    <w:p>
      <w:pPr>
        <w:pStyle w:val="3"/>
      </w:pPr>
      <w:r>
        <w:rPr>
          <w:rFonts w:hint="eastAsia"/>
        </w:rPr>
        <w:t>（四）整体绩效自评。</w:t>
      </w:r>
    </w:p>
    <w:p>
      <w:r>
        <w:rPr>
          <w:rFonts w:hint="eastAsia"/>
          <w:lang w:bidi="ar"/>
        </w:rPr>
        <w:t>该年度</w:t>
      </w:r>
      <w:r>
        <w:rPr>
          <w:rFonts w:hint="eastAsia"/>
          <w:u w:val="single"/>
        </w:rPr>
        <w:t>海口湾畅通工程6号高标准驿站项目</w:t>
      </w:r>
      <w:r>
        <w:rPr>
          <w:rFonts w:hint="eastAsia"/>
          <w:lang w:bidi="ar"/>
        </w:rPr>
        <w:t>整体效益目标未全部完成，绩效自评分数</w:t>
      </w:r>
      <w:r>
        <w:rPr>
          <w:rFonts w:hint="eastAsia"/>
          <w:lang w:val="en-US" w:eastAsia="zh-CN" w:bidi="ar"/>
        </w:rPr>
        <w:t>93.12</w:t>
      </w:r>
      <w:r>
        <w:rPr>
          <w:rFonts w:hint="eastAsia"/>
          <w:lang w:bidi="ar"/>
        </w:rPr>
        <w:t>分，自评等级</w:t>
      </w:r>
      <w:r>
        <w:rPr>
          <w:rFonts w:hint="eastAsia"/>
          <w:lang w:val="en-US" w:eastAsia="zh-CN" w:bidi="ar"/>
        </w:rPr>
        <w:t>优</w:t>
      </w:r>
      <w:r>
        <w:rPr>
          <w:rFonts w:hint="eastAsia"/>
          <w:lang w:bidi="ar"/>
        </w:rPr>
        <w:t>。</w:t>
      </w:r>
    </w:p>
    <w:p>
      <w:pPr>
        <w:pStyle w:val="3"/>
      </w:pPr>
      <w:r>
        <w:rPr>
          <w:rFonts w:hint="eastAsia"/>
        </w:rPr>
        <w:t>三、发现的主要问题和改进措施</w:t>
      </w:r>
    </w:p>
    <w:p>
      <w:pPr>
        <w:rPr>
          <w:rFonts w:hint="default"/>
          <w:lang w:val="en-US"/>
        </w:rPr>
      </w:pPr>
      <w:r>
        <w:rPr>
          <w:rFonts w:hint="eastAsia"/>
          <w:lang w:val="en-US" w:eastAsia="zh-CN"/>
        </w:rPr>
        <w:t>项目红线范围内涉及恒大地块土地尚未完成有偿收回（约32.43亩），当前正积极对接市资规局等职能部门协调解决该问题。</w:t>
      </w:r>
    </w:p>
    <w:p>
      <w:pPr>
        <w:pStyle w:val="3"/>
      </w:pPr>
      <w:r>
        <w:rPr>
          <w:rFonts w:hint="eastAsia"/>
        </w:rPr>
        <w:t>四、绩效自评结果拟应用和公开情况</w:t>
      </w:r>
    </w:p>
    <w:p>
      <w:r>
        <w:rPr>
          <w:rFonts w:hint="eastAsia"/>
        </w:rPr>
        <w:t>拟将绩效自评结果用于后续对于施工等单位的履职尽责以及专业胜任能力的考核，可作为后续相关合作的考虑因素。</w:t>
      </w:r>
    </w:p>
    <w:p>
      <w:pPr>
        <w:pStyle w:val="3"/>
      </w:pPr>
      <w:r>
        <w:rPr>
          <w:rFonts w:hint="eastAsia"/>
        </w:rPr>
        <w:t>五、绩效自评工作开展情况</w:t>
      </w:r>
    </w:p>
    <w:p>
      <w:r>
        <w:rPr>
          <w:rFonts w:hint="eastAsia" w:ascii="Arial" w:hAnsi="Arial" w:cs="Arial"/>
          <w:color w:val="191919"/>
          <w:shd w:val="clear" w:color="auto" w:fill="FFFFFF"/>
        </w:rPr>
        <w:t>根据</w:t>
      </w:r>
      <w:r>
        <w:rPr>
          <w:rFonts w:ascii="Arial" w:hAnsi="Arial" w:cs="Arial"/>
          <w:color w:val="191919"/>
          <w:shd w:val="clear" w:color="auto" w:fill="FFFFFF"/>
        </w:rPr>
        <w:t>《中共中央 国务院关于全面实施预算绩效管理的意见》，</w:t>
      </w:r>
      <w:r>
        <w:rPr>
          <w:rFonts w:hint="eastAsia" w:ascii="Arial" w:hAnsi="Arial" w:cs="Arial"/>
          <w:color w:val="191919"/>
          <w:shd w:val="clear" w:color="auto" w:fill="FFFFFF"/>
        </w:rPr>
        <w:t>我单位</w:t>
      </w:r>
      <w:r>
        <w:rPr>
          <w:rFonts w:ascii="Arial" w:hAnsi="Arial" w:cs="Arial"/>
          <w:color w:val="191919"/>
          <w:shd w:val="clear" w:color="auto" w:fill="FFFFFF"/>
        </w:rPr>
        <w:t>以全面实施预算绩效管理为关键点和突破口，推动财政资金聚力增效，提高公共服务供给质量，增强政府公信力和执行力。</w:t>
      </w:r>
      <w:r>
        <w:rPr>
          <w:rFonts w:hint="eastAsia" w:ascii="Arial" w:hAnsi="Arial" w:cs="Arial"/>
          <w:color w:val="191919"/>
          <w:shd w:val="clear" w:color="auto" w:fill="FFFFFF"/>
        </w:rPr>
        <w:t>按照“预算花钱必问效”的原则，我单位持续对政府投资项目，尤其是获得中央资金的项目开展绩效自评工作，</w:t>
      </w:r>
      <w:r>
        <w:rPr>
          <w:rFonts w:ascii="Arial" w:hAnsi="Arial" w:cs="Arial"/>
          <w:color w:val="191919"/>
          <w:shd w:val="clear" w:color="auto" w:fill="FFFFFF"/>
        </w:rPr>
        <w:t>强化绩效目标管理，做好绩效运行监控，并开展绩效评价和结果应用</w:t>
      </w:r>
      <w:r>
        <w:rPr>
          <w:rFonts w:hint="eastAsia" w:ascii="Arial" w:hAnsi="Arial" w:cs="Arial"/>
          <w:color w:val="191919"/>
          <w:shd w:val="clear" w:color="auto" w:fill="FFFFFF"/>
        </w:rPr>
        <w:t>。</w:t>
      </w:r>
    </w:p>
    <w:p>
      <w:pPr>
        <w:pStyle w:val="3"/>
      </w:pPr>
      <w:r>
        <w:rPr>
          <w:rFonts w:hint="eastAsia"/>
        </w:rPr>
        <w:t>六、其他需要说明的问题</w:t>
      </w:r>
    </w:p>
    <w:p>
      <w:r>
        <w:rPr>
          <w:rFonts w:hint="eastAsia"/>
        </w:rPr>
        <w:t>暂无。</w:t>
      </w: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w:fldChar w:fldCharType="begin"/>
    </w:r>
    <w:r>
      <w:instrText xml:space="preserve"> PAGE   \* MERGEFORMAT </w:instrText>
    </w:r>
    <w:r>
      <w:fldChar w:fldCharType="separate"/>
    </w:r>
    <w:r>
      <w:rPr>
        <w:lang w:val="zh-CN"/>
      </w:rPr>
      <w:t>1</w:t>
    </w:r>
    <w:r>
      <w:rPr>
        <w:lang w:val="zh-CN"/>
      </w:rPr>
      <w:fldChar w:fldCharType="end"/>
    </w:r>
  </w:p>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436A"/>
    <w:multiLevelType w:val="singleLevel"/>
    <w:tmpl w:val="B826436A"/>
    <w:lvl w:ilvl="0" w:tentative="0">
      <w:start w:val="2"/>
      <w:numFmt w:val="chineseCounting"/>
      <w:suff w:val="nothing"/>
      <w:lvlText w:val="（%1）"/>
      <w:lvlJc w:val="left"/>
      <w:rPr>
        <w:rFonts w:hint="eastAsia"/>
      </w:rPr>
    </w:lvl>
  </w:abstractNum>
  <w:abstractNum w:abstractNumId="1">
    <w:nsid w:val="0FF946CB"/>
    <w:multiLevelType w:val="singleLevel"/>
    <w:tmpl w:val="0FF946CB"/>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HorizontalSpacing w:val="150"/>
  <w:drawingGridVerticalSpacing w:val="5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YTVjZWNiYTM1NWQ0OTY3YThiOWYyYWMwYjJhZGQifQ=="/>
  </w:docVars>
  <w:rsids>
    <w:rsidRoot w:val="00F57F82"/>
    <w:rsid w:val="000101E1"/>
    <w:rsid w:val="00017298"/>
    <w:rsid w:val="00020084"/>
    <w:rsid w:val="000329D9"/>
    <w:rsid w:val="000732DA"/>
    <w:rsid w:val="00075CDC"/>
    <w:rsid w:val="000B1E8F"/>
    <w:rsid w:val="00103D16"/>
    <w:rsid w:val="001214D7"/>
    <w:rsid w:val="00136702"/>
    <w:rsid w:val="00164D84"/>
    <w:rsid w:val="001D628A"/>
    <w:rsid w:val="00250053"/>
    <w:rsid w:val="00276CCC"/>
    <w:rsid w:val="00287C3C"/>
    <w:rsid w:val="002F2300"/>
    <w:rsid w:val="00371982"/>
    <w:rsid w:val="00382DB2"/>
    <w:rsid w:val="0039432D"/>
    <w:rsid w:val="00396B0D"/>
    <w:rsid w:val="003C6374"/>
    <w:rsid w:val="00415F7C"/>
    <w:rsid w:val="004531B5"/>
    <w:rsid w:val="004D4E33"/>
    <w:rsid w:val="00503C12"/>
    <w:rsid w:val="00560E3E"/>
    <w:rsid w:val="00747904"/>
    <w:rsid w:val="00785AF7"/>
    <w:rsid w:val="007873EA"/>
    <w:rsid w:val="007A1DC2"/>
    <w:rsid w:val="007E546A"/>
    <w:rsid w:val="008A20F2"/>
    <w:rsid w:val="00A92E5C"/>
    <w:rsid w:val="00AA2B82"/>
    <w:rsid w:val="00B13839"/>
    <w:rsid w:val="00C55880"/>
    <w:rsid w:val="00C76D25"/>
    <w:rsid w:val="00CC152C"/>
    <w:rsid w:val="00CE3824"/>
    <w:rsid w:val="00CE55E9"/>
    <w:rsid w:val="00D200DC"/>
    <w:rsid w:val="00D223C8"/>
    <w:rsid w:val="00D61B1A"/>
    <w:rsid w:val="00D63908"/>
    <w:rsid w:val="00D72958"/>
    <w:rsid w:val="00DB429F"/>
    <w:rsid w:val="00DD09A2"/>
    <w:rsid w:val="00DD16E3"/>
    <w:rsid w:val="00DF57C5"/>
    <w:rsid w:val="00E16BF4"/>
    <w:rsid w:val="00ED6D53"/>
    <w:rsid w:val="00F22AE2"/>
    <w:rsid w:val="00F437B4"/>
    <w:rsid w:val="00F57F82"/>
    <w:rsid w:val="00F75963"/>
    <w:rsid w:val="00FA357A"/>
    <w:rsid w:val="029E5817"/>
    <w:rsid w:val="02C86339"/>
    <w:rsid w:val="037D0BC8"/>
    <w:rsid w:val="04076DA7"/>
    <w:rsid w:val="04706FFA"/>
    <w:rsid w:val="07FA0264"/>
    <w:rsid w:val="0845082D"/>
    <w:rsid w:val="0848123F"/>
    <w:rsid w:val="096A663E"/>
    <w:rsid w:val="09E965F2"/>
    <w:rsid w:val="0A4A3A37"/>
    <w:rsid w:val="0A87714B"/>
    <w:rsid w:val="0EC63FED"/>
    <w:rsid w:val="0EFB5A0A"/>
    <w:rsid w:val="0FFFAAC1"/>
    <w:rsid w:val="109675FA"/>
    <w:rsid w:val="11697E23"/>
    <w:rsid w:val="11D7196B"/>
    <w:rsid w:val="12CA3F9C"/>
    <w:rsid w:val="139840D3"/>
    <w:rsid w:val="143E091F"/>
    <w:rsid w:val="14865FC8"/>
    <w:rsid w:val="150C2DB0"/>
    <w:rsid w:val="16C74547"/>
    <w:rsid w:val="17C05E32"/>
    <w:rsid w:val="18F83E24"/>
    <w:rsid w:val="1CE94882"/>
    <w:rsid w:val="1E761F05"/>
    <w:rsid w:val="1FC7205C"/>
    <w:rsid w:val="20136539"/>
    <w:rsid w:val="20BD1B38"/>
    <w:rsid w:val="21B57B1D"/>
    <w:rsid w:val="21DE5A03"/>
    <w:rsid w:val="21F00DBA"/>
    <w:rsid w:val="228B3D05"/>
    <w:rsid w:val="25FE8923"/>
    <w:rsid w:val="27F34A6B"/>
    <w:rsid w:val="284968A7"/>
    <w:rsid w:val="286D5E37"/>
    <w:rsid w:val="28E373DF"/>
    <w:rsid w:val="2A94137D"/>
    <w:rsid w:val="2CBB425E"/>
    <w:rsid w:val="2D8B4B0D"/>
    <w:rsid w:val="2F6F4467"/>
    <w:rsid w:val="2FAD4FCA"/>
    <w:rsid w:val="32167B6B"/>
    <w:rsid w:val="33E86A4E"/>
    <w:rsid w:val="35160B35"/>
    <w:rsid w:val="365A7D6C"/>
    <w:rsid w:val="368D368C"/>
    <w:rsid w:val="36B95C8B"/>
    <w:rsid w:val="38EF7AD8"/>
    <w:rsid w:val="3A0C0C54"/>
    <w:rsid w:val="3A431E7C"/>
    <w:rsid w:val="3C5E2926"/>
    <w:rsid w:val="3C7019B2"/>
    <w:rsid w:val="3D7E7C9E"/>
    <w:rsid w:val="3DBBD6B4"/>
    <w:rsid w:val="3E1672E6"/>
    <w:rsid w:val="3E6918DD"/>
    <w:rsid w:val="3F5579C2"/>
    <w:rsid w:val="40950555"/>
    <w:rsid w:val="415F08D8"/>
    <w:rsid w:val="41AE398F"/>
    <w:rsid w:val="42ED2134"/>
    <w:rsid w:val="42F07593"/>
    <w:rsid w:val="433B52D2"/>
    <w:rsid w:val="43690154"/>
    <w:rsid w:val="43ED7E14"/>
    <w:rsid w:val="441867FA"/>
    <w:rsid w:val="4434078E"/>
    <w:rsid w:val="44C635B7"/>
    <w:rsid w:val="44E2230F"/>
    <w:rsid w:val="46F9107C"/>
    <w:rsid w:val="4881717A"/>
    <w:rsid w:val="48B51347"/>
    <w:rsid w:val="48E522DC"/>
    <w:rsid w:val="4A1B2E89"/>
    <w:rsid w:val="4A55216A"/>
    <w:rsid w:val="4B0E65C7"/>
    <w:rsid w:val="4BFD2870"/>
    <w:rsid w:val="4C4F4283"/>
    <w:rsid w:val="4D2907E5"/>
    <w:rsid w:val="4D4C56FF"/>
    <w:rsid w:val="4DC43E92"/>
    <w:rsid w:val="4F5B6BF0"/>
    <w:rsid w:val="4FE0696A"/>
    <w:rsid w:val="4FED4628"/>
    <w:rsid w:val="50D34630"/>
    <w:rsid w:val="50F76058"/>
    <w:rsid w:val="50F91B2C"/>
    <w:rsid w:val="50FE6375"/>
    <w:rsid w:val="51FD19E1"/>
    <w:rsid w:val="528F2AA6"/>
    <w:rsid w:val="53773584"/>
    <w:rsid w:val="55673508"/>
    <w:rsid w:val="57FCC004"/>
    <w:rsid w:val="59595A6F"/>
    <w:rsid w:val="599330CA"/>
    <w:rsid w:val="5A5D05FC"/>
    <w:rsid w:val="5B0D23FC"/>
    <w:rsid w:val="5C1801A8"/>
    <w:rsid w:val="5C1D453E"/>
    <w:rsid w:val="5CBF4435"/>
    <w:rsid w:val="5DB076C2"/>
    <w:rsid w:val="5F76F0C1"/>
    <w:rsid w:val="5FF371E7"/>
    <w:rsid w:val="600865E8"/>
    <w:rsid w:val="603B6C1D"/>
    <w:rsid w:val="60D5009F"/>
    <w:rsid w:val="619D08BC"/>
    <w:rsid w:val="6261716A"/>
    <w:rsid w:val="6324384D"/>
    <w:rsid w:val="660721C9"/>
    <w:rsid w:val="661E6C75"/>
    <w:rsid w:val="67F75FF5"/>
    <w:rsid w:val="681715F8"/>
    <w:rsid w:val="681D4831"/>
    <w:rsid w:val="692A6C18"/>
    <w:rsid w:val="692E4B19"/>
    <w:rsid w:val="69513EF7"/>
    <w:rsid w:val="697D78BA"/>
    <w:rsid w:val="6AAF7917"/>
    <w:rsid w:val="6B0B09CB"/>
    <w:rsid w:val="6BF3256F"/>
    <w:rsid w:val="6CE7018A"/>
    <w:rsid w:val="6D08690D"/>
    <w:rsid w:val="6DA15568"/>
    <w:rsid w:val="6E3E3F2D"/>
    <w:rsid w:val="70D86EB2"/>
    <w:rsid w:val="715B2F02"/>
    <w:rsid w:val="72F13750"/>
    <w:rsid w:val="730F557A"/>
    <w:rsid w:val="738379D8"/>
    <w:rsid w:val="748C1146"/>
    <w:rsid w:val="75A62CFF"/>
    <w:rsid w:val="76A548F2"/>
    <w:rsid w:val="7765772E"/>
    <w:rsid w:val="77867685"/>
    <w:rsid w:val="77F04540"/>
    <w:rsid w:val="781F36B6"/>
    <w:rsid w:val="78ED5A1E"/>
    <w:rsid w:val="790627AD"/>
    <w:rsid w:val="7ABA7609"/>
    <w:rsid w:val="7ADC59FA"/>
    <w:rsid w:val="7BB71159"/>
    <w:rsid w:val="7C1A2432"/>
    <w:rsid w:val="7CD836C4"/>
    <w:rsid w:val="7D6742C1"/>
    <w:rsid w:val="7DBDD65E"/>
    <w:rsid w:val="7DDD794F"/>
    <w:rsid w:val="7E5A664C"/>
    <w:rsid w:val="7EF834F2"/>
    <w:rsid w:val="7F957A64"/>
    <w:rsid w:val="7FA94C21"/>
    <w:rsid w:val="7FED9F9F"/>
    <w:rsid w:val="9FFF3766"/>
    <w:rsid w:val="B7F7950F"/>
    <w:rsid w:val="BECF1CFC"/>
    <w:rsid w:val="CADDA160"/>
    <w:rsid w:val="D7FBE5FA"/>
    <w:rsid w:val="DFDF27BD"/>
    <w:rsid w:val="F57B6F99"/>
    <w:rsid w:val="F7DFB8FF"/>
    <w:rsid w:val="FA7DCE76"/>
    <w:rsid w:val="FAEFC359"/>
    <w:rsid w:val="FB5ECFCA"/>
    <w:rsid w:val="FEAF114B"/>
    <w:rsid w:val="FEDC2866"/>
    <w:rsid w:val="FFC6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outlineLvl w:val="0"/>
    </w:pPr>
    <w:rPr>
      <w:rFonts w:ascii="仿宋_GB2312" w:hAnsi="Times New Roman" w:eastAsia="仿宋_GB2312" w:cs="Times New Roman"/>
      <w:kern w:val="2"/>
      <w:sz w:val="32"/>
      <w:szCs w:val="36"/>
      <w:lang w:val="en-US" w:eastAsia="zh-CN" w:bidi="ar-SA"/>
    </w:rPr>
  </w:style>
  <w:style w:type="paragraph" w:styleId="3">
    <w:name w:val="heading 1"/>
    <w:basedOn w:val="1"/>
    <w:next w:val="1"/>
    <w:link w:val="17"/>
    <w:qFormat/>
    <w:uiPriority w:val="0"/>
    <w:pPr>
      <w:keepNext/>
      <w:keepLines/>
      <w:ind w:firstLine="643"/>
    </w:pPr>
    <w:rPr>
      <w:rFonts w:ascii="黑体" w:hAnsi="黑体" w:eastAsia="黑体"/>
      <w:b/>
      <w:kern w:val="44"/>
      <w:szCs w:val="2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964"/>
    </w:pPr>
  </w:style>
  <w:style w:type="paragraph" w:styleId="5">
    <w:name w:val="Balloon Text"/>
    <w:basedOn w:val="1"/>
    <w:link w:val="14"/>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6"/>
    <w:qFormat/>
    <w:uiPriority w:val="0"/>
    <w:pPr>
      <w:spacing w:before="240" w:after="60"/>
      <w:jc w:val="center"/>
    </w:pPr>
    <w:rPr>
      <w:rFonts w:asciiTheme="majorHAnsi" w:hAnsiTheme="majorHAnsi" w:eastAsiaTheme="majorEastAsia" w:cstheme="majorBidi"/>
      <w:b/>
      <w:bCs/>
      <w:szCs w:val="32"/>
    </w:rPr>
  </w:style>
  <w:style w:type="paragraph" w:customStyle="1" w:styleId="11">
    <w:name w:val="BodyTextIndent2"/>
    <w:basedOn w:val="1"/>
    <w:next w:val="1"/>
    <w:qFormat/>
    <w:uiPriority w:val="0"/>
    <w:pPr>
      <w:widowControl/>
      <w:snapToGrid w:val="0"/>
      <w:spacing w:line="480" w:lineRule="exact"/>
      <w:ind w:firstLine="588"/>
      <w:textAlignment w:val="baseline"/>
    </w:pPr>
    <w:rPr>
      <w:rFonts w:ascii="Arial" w:hAnsi="Arial" w:eastAsia="等线"/>
      <w:sz w:val="28"/>
    </w:rPr>
  </w:style>
  <w:style w:type="character" w:customStyle="1" w:styleId="12">
    <w:name w:val="页脚 字符"/>
    <w:basedOn w:val="10"/>
    <w:link w:val="6"/>
    <w:qFormat/>
    <w:uiPriority w:val="99"/>
    <w:rPr>
      <w:rFonts w:eastAsia="仿宋_GB2312"/>
      <w:kern w:val="2"/>
      <w:sz w:val="18"/>
      <w:szCs w:val="18"/>
    </w:rPr>
  </w:style>
  <w:style w:type="character" w:customStyle="1" w:styleId="13">
    <w:name w:val="页眉 字符"/>
    <w:basedOn w:val="10"/>
    <w:link w:val="7"/>
    <w:qFormat/>
    <w:uiPriority w:val="0"/>
    <w:rPr>
      <w:rFonts w:eastAsia="仿宋_GB2312"/>
      <w:kern w:val="2"/>
      <w:sz w:val="18"/>
      <w:szCs w:val="18"/>
    </w:rPr>
  </w:style>
  <w:style w:type="character" w:customStyle="1" w:styleId="14">
    <w:name w:val="批注框文本 字符"/>
    <w:basedOn w:val="10"/>
    <w:link w:val="5"/>
    <w:qFormat/>
    <w:uiPriority w:val="0"/>
    <w:rPr>
      <w:rFonts w:eastAsia="仿宋_GB2312"/>
      <w:kern w:val="2"/>
      <w:sz w:val="18"/>
      <w:szCs w:val="18"/>
    </w:rPr>
  </w:style>
  <w:style w:type="paragraph" w:styleId="15">
    <w:name w:val="List Paragraph"/>
    <w:basedOn w:val="1"/>
    <w:qFormat/>
    <w:uiPriority w:val="99"/>
    <w:pPr>
      <w:ind w:firstLine="420"/>
    </w:pPr>
  </w:style>
  <w:style w:type="character" w:customStyle="1" w:styleId="16">
    <w:name w:val="标题 字符"/>
    <w:basedOn w:val="10"/>
    <w:link w:val="8"/>
    <w:qFormat/>
    <w:uiPriority w:val="0"/>
    <w:rPr>
      <w:rFonts w:asciiTheme="majorHAnsi" w:hAnsiTheme="majorHAnsi" w:eastAsiaTheme="majorEastAsia" w:cstheme="majorBidi"/>
      <w:b/>
      <w:bCs/>
      <w:kern w:val="2"/>
      <w:sz w:val="32"/>
      <w:szCs w:val="32"/>
    </w:rPr>
  </w:style>
  <w:style w:type="character" w:customStyle="1" w:styleId="17">
    <w:name w:val="标题 1 字符"/>
    <w:basedOn w:val="10"/>
    <w:link w:val="3"/>
    <w:qFormat/>
    <w:uiPriority w:val="0"/>
    <w:rPr>
      <w:rFonts w:hint="eastAsia" w:ascii="黑体" w:hAnsi="宋体" w:eastAsia="黑体" w:cs="黑体"/>
      <w:b/>
      <w:kern w:val="44"/>
      <w:sz w:val="32"/>
      <w:szCs w:val="24"/>
    </w:rPr>
  </w:style>
  <w:style w:type="character" w:customStyle="1" w:styleId="18">
    <w:name w:val="fontstyle01"/>
    <w:basedOn w:val="10"/>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1044</Words>
  <Characters>1158</Characters>
  <Lines>8</Lines>
  <Paragraphs>2</Paragraphs>
  <TotalTime>1</TotalTime>
  <ScaleCrop>false</ScaleCrop>
  <LinksUpToDate>false</LinksUpToDate>
  <CharactersWithSpaces>1161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2011-03-03T08:16:00Z</dcterms:created>
  <dc:creator>lhn</dc:creator>
  <cp:lastModifiedBy>哒哒哒</cp:lastModifiedBy>
  <cp:lastPrinted>2020-02-29T13:55:00Z</cp:lastPrinted>
  <dcterms:modified xsi:type="dcterms:W3CDTF">2022-10-10T08:16:39Z</dcterms:modified>
  <dc:title>财政支出绩效评价报告</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7D1C0F063F0444CFA235B444D062DF76</vt:lpwstr>
  </property>
</Properties>
</file>